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aad40770734f5b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54157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REGIONALNI ZNANSTVENI CENTAR ZA OSNOVNOŠKOLSKI ODGOJ I OBRAZOVANJEU STEM PODRUČJU-LORI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21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IX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93.853,55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70.474,35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75,1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85.581,76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68.719,97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80,3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8.271,79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1.754,38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21,2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PRIHODA OD NEFINANCIJSKE IMOVINE (šifre 7-4,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X002, 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I PRIMITAKA (šifre X678-Y345)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8.271,79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1.754,38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21,2</w:t>
            </w:r>
          </w:p>
        </w:tc>
      </w:tr>
    </w:tbl>
    <w:p>
      <w:pPr>
        <w:spacing w:before="0" w:after="0"/>
      </w:pPr>
    </w:p>
    <w:p>
      <w:r>
        <w:t xml:space="preserve">Regionalni znanstveni centar za osnovnoškolski odgoj i obrazovanje u STEM području - LORI je za razdoblje 01.01.-30.09.2026. ostvario prihode u ukupnom iznosu od 70.474,35 eura što je za 24,9% manje nego u istom razdoblju prošle godine.</w:t>
      </w:r>
    </w:p>
    <w:p>
      <w:r>
        <w:t xml:space="preserve">Do smanjenja je došlo zbog smanjenja prihoda iz županijskog proračuna, manji su i prihodi iz nadležnog proračuna za 35,7%. Do neznatnog smanjenja od 6,8% došlo je i u vlastitim prihodima koje Centar ostvaruje kroz održavanje mnogobrojnih radionica, najviše za osnovnoškolsku djecu.</w:t>
      </w:r>
    </w:p>
    <w:p>
      <w:r>
        <w:t xml:space="preserve">Ukupni rashodi poslovanja iznose 68.719,97 eura što je također manje nego prošle godine, i to za 19,7%. Rashodi za zaposlene povećali su se za 4,9% zbog povećanja osnovice za obračun plaće. Materijalni rashodi su se smanjili za 40,9%, financijski rashodi i rashodi za nabavu dugotranje imovine nisu iskazani za navedeno razdoblje.</w:t>
      </w:r>
    </w:p>
    <w:p>
      <w:r>
        <w:t xml:space="preserve">U ovom izvještajnom razdoblju ostvaren je višak prihoda u iznosu 1.754,38 eura, kojem se pribraja manjak iz 2025. te ukupni višak raspoloživ u slijedećem razdoblju iznosi 1.538,03 eura.</w:t>
      </w:r>
    </w:p>
    <w:p>
      <w:r>
        <w:t xml:space="preserve">Regionalni znanstveni centar Lori je od 01.01.2026. godine u sustavu pune riznice i posluje preko jedinstvenog računa nadležnog proračuna, te nisu iskazana sredstva u obrascu PR-RAS, stanje novčanih sredstava na početku i na kraju izvještajnog razdoblja.</w:t>
      </w:r>
    </w:p>
    <w:p>
      <w:r>
        <w:br/>
      </w:r>
    </w:p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8f1f37b273442b6" /></Relationships>
</file>